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1FBF" w:rsidRDefault="00AE1FBF" w:rsidP="00AE1FBF">
      <w:pPr>
        <w:spacing w:line="480" w:lineRule="auto"/>
        <w:jc w:val="center"/>
      </w:pPr>
    </w:p>
    <w:p w:rsidR="00AE1FBF" w:rsidRDefault="00AE1FBF" w:rsidP="00AE1FBF">
      <w:pPr>
        <w:spacing w:line="480" w:lineRule="auto"/>
        <w:jc w:val="center"/>
      </w:pPr>
    </w:p>
    <w:p w:rsidR="00AE1FBF" w:rsidRDefault="00AE1FBF" w:rsidP="00AE1FBF">
      <w:pPr>
        <w:spacing w:line="480" w:lineRule="auto"/>
        <w:jc w:val="center"/>
      </w:pPr>
    </w:p>
    <w:p w:rsidR="001C4A7C" w:rsidRPr="00AE1FBF" w:rsidRDefault="002D1E9D" w:rsidP="00AE1FBF">
      <w:pPr>
        <w:spacing w:line="480" w:lineRule="auto"/>
        <w:jc w:val="center"/>
        <w:rPr>
          <w:b/>
        </w:rPr>
      </w:pPr>
      <w:r w:rsidRPr="00AE1FBF">
        <w:rPr>
          <w:b/>
        </w:rPr>
        <w:t>Huli Papua New Guinea</w:t>
      </w:r>
    </w:p>
    <w:p w:rsidR="00330A78" w:rsidRDefault="00330A78" w:rsidP="00AE1FBF">
      <w:pPr>
        <w:spacing w:line="480" w:lineRule="auto"/>
        <w:jc w:val="center"/>
      </w:pPr>
    </w:p>
    <w:p w:rsidR="00330A78" w:rsidRDefault="00330A78" w:rsidP="00AE1FBF">
      <w:pPr>
        <w:spacing w:line="480" w:lineRule="auto"/>
        <w:jc w:val="center"/>
      </w:pPr>
    </w:p>
    <w:p w:rsidR="00330A78" w:rsidRDefault="00330A78" w:rsidP="00AE1FBF">
      <w:pPr>
        <w:spacing w:line="480" w:lineRule="auto"/>
        <w:jc w:val="center"/>
      </w:pPr>
    </w:p>
    <w:p w:rsidR="00330A78" w:rsidRDefault="002D1E9D" w:rsidP="00AE1FBF">
      <w:pPr>
        <w:spacing w:line="480" w:lineRule="auto"/>
        <w:jc w:val="center"/>
      </w:pPr>
      <w:r>
        <w:t>Name</w:t>
      </w:r>
    </w:p>
    <w:p w:rsidR="00330A78" w:rsidRDefault="002D1E9D" w:rsidP="00AE1FBF">
      <w:pPr>
        <w:spacing w:line="480" w:lineRule="auto"/>
        <w:jc w:val="center"/>
      </w:pPr>
      <w:r>
        <w:t>Institute of Affiliation</w:t>
      </w:r>
    </w:p>
    <w:p w:rsidR="00AE1FBF" w:rsidRDefault="002D1E9D" w:rsidP="00AE1FBF">
      <w:pPr>
        <w:spacing w:line="480" w:lineRule="auto"/>
        <w:jc w:val="center"/>
      </w:pPr>
      <w:r>
        <w:t>Professor</w:t>
      </w:r>
    </w:p>
    <w:p w:rsidR="00330A78" w:rsidRDefault="002D1E9D" w:rsidP="00AE1FBF">
      <w:pPr>
        <w:spacing w:line="480" w:lineRule="auto"/>
        <w:jc w:val="center"/>
      </w:pPr>
      <w:r>
        <w:t>Date</w:t>
      </w:r>
    </w:p>
    <w:p w:rsidR="00330A78" w:rsidRDefault="00330A78" w:rsidP="00330A78">
      <w:pPr>
        <w:spacing w:line="480" w:lineRule="auto"/>
        <w:jc w:val="center"/>
      </w:pPr>
    </w:p>
    <w:p w:rsidR="00330A78" w:rsidRDefault="00330A78" w:rsidP="00330A78">
      <w:pPr>
        <w:spacing w:line="480" w:lineRule="auto"/>
        <w:jc w:val="center"/>
      </w:pPr>
    </w:p>
    <w:p w:rsidR="00330A78" w:rsidRDefault="00330A78" w:rsidP="00330A78">
      <w:pPr>
        <w:spacing w:line="480" w:lineRule="auto"/>
        <w:jc w:val="center"/>
      </w:pPr>
    </w:p>
    <w:p w:rsidR="00330A78" w:rsidRDefault="00330A78" w:rsidP="00330A78">
      <w:pPr>
        <w:spacing w:line="480" w:lineRule="auto"/>
        <w:jc w:val="center"/>
      </w:pPr>
    </w:p>
    <w:p w:rsidR="00330A78" w:rsidRDefault="00330A78" w:rsidP="00330A78">
      <w:pPr>
        <w:spacing w:line="480" w:lineRule="auto"/>
        <w:jc w:val="center"/>
      </w:pPr>
    </w:p>
    <w:p w:rsidR="00330A78" w:rsidRDefault="00330A78" w:rsidP="00330A78">
      <w:pPr>
        <w:spacing w:line="480" w:lineRule="auto"/>
        <w:jc w:val="center"/>
      </w:pPr>
    </w:p>
    <w:p w:rsidR="00AE1FBF" w:rsidRDefault="00AE1FBF" w:rsidP="00330A78">
      <w:pPr>
        <w:spacing w:line="480" w:lineRule="auto"/>
      </w:pPr>
    </w:p>
    <w:p w:rsidR="00ED3305" w:rsidRPr="00AE1FBF" w:rsidRDefault="002D1E9D" w:rsidP="00AE1FBF">
      <w:pPr>
        <w:spacing w:line="480" w:lineRule="auto"/>
        <w:jc w:val="center"/>
        <w:rPr>
          <w:b/>
        </w:rPr>
      </w:pPr>
      <w:r w:rsidRPr="00AE1FBF">
        <w:rPr>
          <w:b/>
        </w:rPr>
        <w:lastRenderedPageBreak/>
        <w:t>Huli Papua New Guinea Culture</w:t>
      </w:r>
    </w:p>
    <w:p w:rsidR="00330A78" w:rsidRDefault="002D1E9D" w:rsidP="003D5122">
      <w:pPr>
        <w:spacing w:line="480" w:lineRule="auto"/>
        <w:ind w:firstLine="720"/>
      </w:pPr>
      <w:r>
        <w:t xml:space="preserve">Huli </w:t>
      </w:r>
      <w:r w:rsidR="00221F0C">
        <w:t>Papua</w:t>
      </w:r>
      <w:r w:rsidR="003C7437">
        <w:t xml:space="preserve"> New Guinea</w:t>
      </w:r>
      <w:r w:rsidR="00221F0C">
        <w:t xml:space="preserve"> is one of the largest populations on earth, with more than 700 unique dialects spoken in a nation with more than 5millio</w:t>
      </w:r>
      <w:r w:rsidR="00040B53">
        <w:t xml:space="preserve">n. They comprise </w:t>
      </w:r>
      <w:r w:rsidR="00221F0C">
        <w:t>various exotic societies in Papua Guinea, a place where people live in</w:t>
      </w:r>
      <w:r w:rsidR="002A115F">
        <w:t xml:space="preserve"> a</w:t>
      </w:r>
      <w:r w:rsidR="00221F0C">
        <w:t xml:space="preserve"> traditional lifestyle. </w:t>
      </w:r>
      <w:r w:rsidR="00664256">
        <w:t>They believe in having ascended from an ancestor named Huli</w:t>
      </w:r>
      <w:r w:rsidR="007B2D9A">
        <w:t xml:space="preserve"> (Milan et al., </w:t>
      </w:r>
      <w:r w:rsidR="002A115F">
        <w:t>2015)</w:t>
      </w:r>
      <w:r w:rsidR="00664256">
        <w:t>. They</w:t>
      </w:r>
      <w:r w:rsidR="00A67809">
        <w:t xml:space="preserve"> communicate in Huli and Tok Pisin while </w:t>
      </w:r>
      <w:r w:rsidR="002A115F">
        <w:t xml:space="preserve">the </w:t>
      </w:r>
      <w:r w:rsidR="00AE1FBF">
        <w:t>majority communicate</w:t>
      </w:r>
      <w:r w:rsidR="00A67809">
        <w:t xml:space="preserve"> in nearby </w:t>
      </w:r>
      <w:r w:rsidR="003D5122">
        <w:t xml:space="preserve">languages. </w:t>
      </w:r>
      <w:r w:rsidR="00040B53">
        <w:t xml:space="preserve">The males wear a thick woven apron that helps to cover the genitals. The women have bare chests as they do not dress like men. Their clothing comprise of shells to represent earrings. </w:t>
      </w:r>
      <w:r w:rsidR="003D5122">
        <w:t>People</w:t>
      </w:r>
      <w:r w:rsidR="00221F0C">
        <w:t xml:space="preserve"> liv</w:t>
      </w:r>
      <w:r w:rsidR="006B002F">
        <w:t>e in small towns and are farmers by and large. Women have their designated chores just like men do</w:t>
      </w:r>
      <w:r w:rsidR="00221F0C">
        <w:t xml:space="preserve">. They are responsible </w:t>
      </w:r>
      <w:r w:rsidR="00ED3305">
        <w:t>for the little ones and also gardening</w:t>
      </w:r>
      <w:r w:rsidR="006B002F">
        <w:t xml:space="preserve"> in the farms</w:t>
      </w:r>
      <w:r w:rsidR="002A115F">
        <w:t xml:space="preserve">. Guinea, </w:t>
      </w:r>
      <w:r w:rsidR="00ED3305">
        <w:t>for instance</w:t>
      </w:r>
      <w:r w:rsidR="009C64B9">
        <w:t>,</w:t>
      </w:r>
      <w:r w:rsidR="00ED3305">
        <w:t xml:space="preserve"> there is </w:t>
      </w:r>
      <w:r w:rsidR="002A115F">
        <w:t>a brilliant Huli clan who occupies</w:t>
      </w:r>
      <w:r w:rsidR="00ED3305">
        <w:t xml:space="preserve"> the mountains in the South and Hela Province. Beautiful clay is utilized for customary body beautification by the </w:t>
      </w:r>
      <w:r w:rsidR="002A115F">
        <w:t>Hulis. The young adults in this</w:t>
      </w:r>
      <w:r w:rsidR="00ED3305">
        <w:t xml:space="preserve"> community experience extreme skin cutting on their backs. This shows solidarity and capacity to look like the praised spirits in the water (alligators) of the Sepik.</w:t>
      </w:r>
    </w:p>
    <w:p w:rsidR="00A67809" w:rsidRDefault="002D1E9D" w:rsidP="00EE1329">
      <w:pPr>
        <w:spacing w:line="480" w:lineRule="auto"/>
        <w:ind w:firstLine="720"/>
      </w:pPr>
      <w:r>
        <w:t>They</w:t>
      </w:r>
      <w:r>
        <w:t xml:space="preserve"> undergo a </w:t>
      </w:r>
      <w:r w:rsidR="002A115F">
        <w:t>different way of education. The</w:t>
      </w:r>
      <w:r w:rsidR="006B002F">
        <w:t xml:space="preserve"> young men live with their mothers</w:t>
      </w:r>
      <w:r>
        <w:t xml:space="preserve"> until they become seven. From that </w:t>
      </w:r>
      <w:r w:rsidR="00EE1329">
        <w:t xml:space="preserve">point, they live with their fathers </w:t>
      </w:r>
      <w:r>
        <w:t xml:space="preserve">to become </w:t>
      </w:r>
      <w:r w:rsidR="00EE1329">
        <w:t>familiar with specific duties</w:t>
      </w:r>
      <w:r>
        <w:t xml:space="preserve">, such as bolt and bow </w:t>
      </w:r>
      <w:r w:rsidR="003D5122">
        <w:t>chasing, building</w:t>
      </w:r>
      <w:r>
        <w:t xml:space="preserve"> mad dividers, and building homes.</w:t>
      </w:r>
      <w:r>
        <w:t xml:space="preserve"> At fourteen years, it's ideal for them to go to Wig School</w:t>
      </w:r>
      <w:r w:rsidR="00C33C9A">
        <w:t xml:space="preserve"> (</w:t>
      </w:r>
      <w:r w:rsidR="007B2D9A" w:rsidRPr="002A115F">
        <w:t>Otte</w:t>
      </w:r>
      <w:r w:rsidR="007B2D9A">
        <w:t xml:space="preserve">rstrom &amp; Bunker, </w:t>
      </w:r>
      <w:r w:rsidR="007B2D9A" w:rsidRPr="002A115F">
        <w:t>2013)</w:t>
      </w:r>
      <w:r w:rsidR="00C33C9A">
        <w:t>.</w:t>
      </w:r>
      <w:r>
        <w:t xml:space="preserve"> At this school, they are to put the map wig on th</w:t>
      </w:r>
      <w:r w:rsidR="002A115F">
        <w:t xml:space="preserve">eir </w:t>
      </w:r>
      <w:r>
        <w:t>hair. This procedure</w:t>
      </w:r>
      <w:r w:rsidR="003D5122">
        <w:t xml:space="preserve"> is one of the most significant in the life of Huli. This takes around one year to grow the wig. It takes more than ten years of </w:t>
      </w:r>
      <w:r>
        <w:t>schooling to complete these wigs.</w:t>
      </w:r>
      <w:r w:rsidR="00EE1329">
        <w:t xml:space="preserve"> </w:t>
      </w:r>
      <w:r>
        <w:t>During this time, the boys are supposed to have a special diet free from fat to enable the hair to grow. They believe that only the hair of the single men can be used to make the wigs.</w:t>
      </w:r>
      <w:r w:rsidR="003D5122">
        <w:t xml:space="preserve"> On graduation, men paint yellow ochre on their faces and leave</w:t>
      </w:r>
      <w:r>
        <w:t xml:space="preserve"> to</w:t>
      </w:r>
      <w:r w:rsidR="003D5122">
        <w:t xml:space="preserve"> look</w:t>
      </w:r>
      <w:r w:rsidR="002A115F">
        <w:t>ing</w:t>
      </w:r>
      <w:r w:rsidR="003D5122">
        <w:t xml:space="preserve"> for a lady to </w:t>
      </w:r>
      <w:r w:rsidR="003D5122">
        <w:lastRenderedPageBreak/>
        <w:t>wed</w:t>
      </w:r>
      <w:r w:rsidR="007B2D9A">
        <w:t xml:space="preserve"> (Parker, </w:t>
      </w:r>
      <w:r w:rsidR="00C33C9A">
        <w:t>2016)</w:t>
      </w:r>
      <w:r w:rsidR="003D5122">
        <w:t>. This is done by paying the dowry using pigs. They</w:t>
      </w:r>
      <w:r w:rsidR="002A115F">
        <w:t xml:space="preserve"> are</w:t>
      </w:r>
      <w:r w:rsidR="003D5122">
        <w:t xml:space="preserve"> more valued than other animals in this community.</w:t>
      </w:r>
      <w:r w:rsidR="002A115F">
        <w:t xml:space="preserve"> Not only are they used in weddings, but also burials. </w:t>
      </w:r>
    </w:p>
    <w:p w:rsidR="002A115F" w:rsidRDefault="002A115F" w:rsidP="003D5122">
      <w:pPr>
        <w:spacing w:line="480" w:lineRule="auto"/>
        <w:ind w:firstLine="720"/>
      </w:pPr>
    </w:p>
    <w:p w:rsidR="002A115F" w:rsidRDefault="002A115F" w:rsidP="003D5122">
      <w:pPr>
        <w:spacing w:line="480" w:lineRule="auto"/>
        <w:ind w:firstLine="720"/>
      </w:pPr>
    </w:p>
    <w:p w:rsidR="002A115F" w:rsidRDefault="002A115F" w:rsidP="003D5122">
      <w:pPr>
        <w:spacing w:line="480" w:lineRule="auto"/>
        <w:ind w:firstLine="720"/>
      </w:pPr>
    </w:p>
    <w:p w:rsidR="002A115F" w:rsidRDefault="002A115F" w:rsidP="003D5122">
      <w:pPr>
        <w:spacing w:line="480" w:lineRule="auto"/>
        <w:ind w:firstLine="720"/>
      </w:pPr>
    </w:p>
    <w:p w:rsidR="002A115F" w:rsidRDefault="002A115F" w:rsidP="003D5122">
      <w:pPr>
        <w:spacing w:line="480" w:lineRule="auto"/>
        <w:ind w:firstLine="720"/>
      </w:pPr>
    </w:p>
    <w:p w:rsidR="002A115F" w:rsidRDefault="002A115F" w:rsidP="003D5122">
      <w:pPr>
        <w:spacing w:line="480" w:lineRule="auto"/>
        <w:ind w:firstLine="720"/>
      </w:pPr>
    </w:p>
    <w:p w:rsidR="002A115F" w:rsidRDefault="002A115F" w:rsidP="003D5122">
      <w:pPr>
        <w:spacing w:line="480" w:lineRule="auto"/>
        <w:ind w:firstLine="720"/>
      </w:pPr>
    </w:p>
    <w:p w:rsidR="007B2D9A" w:rsidRDefault="007B2D9A" w:rsidP="007B2D9A">
      <w:pPr>
        <w:spacing w:line="480" w:lineRule="auto"/>
      </w:pPr>
    </w:p>
    <w:p w:rsidR="007B2D9A" w:rsidRDefault="007B2D9A" w:rsidP="007B2D9A">
      <w:pPr>
        <w:spacing w:line="480" w:lineRule="auto"/>
      </w:pPr>
    </w:p>
    <w:p w:rsidR="007B2D9A" w:rsidRDefault="007B2D9A" w:rsidP="007B2D9A">
      <w:pPr>
        <w:spacing w:line="480" w:lineRule="auto"/>
      </w:pPr>
    </w:p>
    <w:p w:rsidR="007B2D9A" w:rsidRDefault="007B2D9A" w:rsidP="007B2D9A">
      <w:pPr>
        <w:spacing w:line="480" w:lineRule="auto"/>
      </w:pPr>
    </w:p>
    <w:p w:rsidR="007B2D9A" w:rsidRDefault="007B2D9A" w:rsidP="007B2D9A">
      <w:pPr>
        <w:spacing w:line="480" w:lineRule="auto"/>
      </w:pPr>
    </w:p>
    <w:p w:rsidR="007B2D9A" w:rsidRDefault="007B2D9A" w:rsidP="007B2D9A">
      <w:pPr>
        <w:spacing w:line="480" w:lineRule="auto"/>
      </w:pPr>
    </w:p>
    <w:p w:rsidR="007B2D9A" w:rsidRDefault="007B2D9A" w:rsidP="007B2D9A">
      <w:pPr>
        <w:spacing w:line="480" w:lineRule="auto"/>
      </w:pPr>
    </w:p>
    <w:p w:rsidR="007B2D9A" w:rsidRDefault="007B2D9A" w:rsidP="007B2D9A">
      <w:pPr>
        <w:spacing w:line="480" w:lineRule="auto"/>
      </w:pPr>
    </w:p>
    <w:p w:rsidR="007B2D9A" w:rsidRDefault="007B2D9A" w:rsidP="007B2D9A">
      <w:pPr>
        <w:spacing w:line="480" w:lineRule="auto"/>
      </w:pPr>
    </w:p>
    <w:p w:rsidR="00EE1329" w:rsidRDefault="00EE1329" w:rsidP="007B2D9A">
      <w:pPr>
        <w:spacing w:line="480" w:lineRule="auto"/>
      </w:pPr>
      <w:bookmarkStart w:id="0" w:name="_GoBack"/>
      <w:bookmarkEnd w:id="0"/>
    </w:p>
    <w:p w:rsidR="002A115F" w:rsidRPr="007B2D9A" w:rsidRDefault="002D1E9D" w:rsidP="007B2D9A">
      <w:pPr>
        <w:spacing w:line="480" w:lineRule="auto"/>
        <w:jc w:val="center"/>
        <w:rPr>
          <w:b/>
        </w:rPr>
      </w:pPr>
      <w:r w:rsidRPr="007B2D9A">
        <w:rPr>
          <w:b/>
        </w:rPr>
        <w:lastRenderedPageBreak/>
        <w:t>References</w:t>
      </w:r>
    </w:p>
    <w:p w:rsidR="007B2D9A" w:rsidRPr="002A115F" w:rsidRDefault="002D1E9D" w:rsidP="007B2D9A">
      <w:pPr>
        <w:spacing w:after="0" w:line="480" w:lineRule="auto"/>
        <w:ind w:left="720" w:hanging="720"/>
        <w:rPr>
          <w:sz w:val="28"/>
        </w:rPr>
      </w:pPr>
      <w:r w:rsidRPr="002A115F">
        <w:t xml:space="preserve">Milan, A., Gioli, G., &amp; Afifi, T. (2015). Migration and global environmental change: methodological lessons from mountain areas of the global South. </w:t>
      </w:r>
      <w:r w:rsidRPr="002A115F">
        <w:rPr>
          <w:i/>
          <w:iCs/>
        </w:rPr>
        <w:t>Earth System Dynamics</w:t>
      </w:r>
      <w:r w:rsidRPr="002A115F">
        <w:t xml:space="preserve">, </w:t>
      </w:r>
      <w:r w:rsidRPr="002A115F">
        <w:rPr>
          <w:i/>
          <w:iCs/>
        </w:rPr>
        <w:t>6</w:t>
      </w:r>
      <w:r w:rsidRPr="002A115F">
        <w:t>(1).</w:t>
      </w:r>
    </w:p>
    <w:p w:rsidR="007B2D9A" w:rsidRPr="002A115F" w:rsidRDefault="002D1E9D" w:rsidP="007B2D9A">
      <w:pPr>
        <w:spacing w:after="0" w:line="480" w:lineRule="auto"/>
        <w:ind w:left="720" w:hanging="720"/>
      </w:pPr>
      <w:r w:rsidRPr="002A115F">
        <w:t xml:space="preserve">Otterstrom, S. M., &amp; Bunker, B. E. (2013). Genealogy, migration, and the intertwined geographies of personal pasts. </w:t>
      </w:r>
      <w:r w:rsidRPr="002A115F">
        <w:rPr>
          <w:i/>
          <w:iCs/>
        </w:rPr>
        <w:t>Annals of the Association of American Geographers</w:t>
      </w:r>
      <w:r w:rsidRPr="002A115F">
        <w:t xml:space="preserve">, </w:t>
      </w:r>
      <w:r w:rsidRPr="002A115F">
        <w:rPr>
          <w:i/>
          <w:iCs/>
        </w:rPr>
        <w:t>103</w:t>
      </w:r>
      <w:r w:rsidRPr="002A115F">
        <w:t>(3), 544-569.</w:t>
      </w:r>
    </w:p>
    <w:p w:rsidR="007B2D9A" w:rsidRPr="002A115F" w:rsidRDefault="002D1E9D" w:rsidP="007B2D9A">
      <w:pPr>
        <w:spacing w:after="0" w:line="480" w:lineRule="auto"/>
        <w:ind w:left="720" w:hanging="720"/>
        <w:rPr>
          <w:sz w:val="28"/>
        </w:rPr>
      </w:pPr>
      <w:r w:rsidRPr="002A115F">
        <w:t>Parker, D. M. (2016). Human migration and spatial synchrony: spatia</w:t>
      </w:r>
      <w:r w:rsidRPr="002A115F">
        <w:t xml:space="preserve">l patterns in temporal trends. In </w:t>
      </w:r>
      <w:r w:rsidRPr="002A115F">
        <w:rPr>
          <w:i/>
          <w:iCs/>
        </w:rPr>
        <w:t>Recapturing Space: New Middle-Range Theory in Spatial Demography</w:t>
      </w:r>
      <w:r w:rsidRPr="002A115F">
        <w:t xml:space="preserve"> (pp. 325-351). Springer, Cham.</w:t>
      </w:r>
    </w:p>
    <w:p w:rsidR="008066B5" w:rsidRDefault="008066B5" w:rsidP="00330A78">
      <w:pPr>
        <w:spacing w:line="480" w:lineRule="auto"/>
      </w:pPr>
    </w:p>
    <w:p w:rsidR="00ED3305" w:rsidRDefault="00ED3305" w:rsidP="00330A78">
      <w:pPr>
        <w:spacing w:line="480" w:lineRule="auto"/>
      </w:pPr>
    </w:p>
    <w:p w:rsidR="00330A78" w:rsidRDefault="00330A78" w:rsidP="00330A78">
      <w:pPr>
        <w:spacing w:line="480" w:lineRule="auto"/>
        <w:jc w:val="center"/>
      </w:pPr>
    </w:p>
    <w:p w:rsidR="00330A78" w:rsidRDefault="00330A78" w:rsidP="00330A78">
      <w:pPr>
        <w:spacing w:line="480" w:lineRule="auto"/>
        <w:jc w:val="center"/>
      </w:pPr>
    </w:p>
    <w:p w:rsidR="00330A78" w:rsidRDefault="00330A78" w:rsidP="00330A78">
      <w:pPr>
        <w:spacing w:line="480" w:lineRule="auto"/>
        <w:jc w:val="center"/>
      </w:pPr>
    </w:p>
    <w:p w:rsidR="00330A78" w:rsidRPr="00330A78" w:rsidRDefault="00330A78"/>
    <w:sectPr w:rsidR="00330A78" w:rsidRPr="00330A78" w:rsidSect="00330A78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E9D" w:rsidRDefault="002D1E9D">
      <w:pPr>
        <w:spacing w:after="0" w:line="240" w:lineRule="auto"/>
      </w:pPr>
      <w:r>
        <w:separator/>
      </w:r>
    </w:p>
  </w:endnote>
  <w:endnote w:type="continuationSeparator" w:id="0">
    <w:p w:rsidR="002D1E9D" w:rsidRDefault="002D1E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E9D" w:rsidRDefault="002D1E9D">
      <w:pPr>
        <w:spacing w:after="0" w:line="240" w:lineRule="auto"/>
      </w:pPr>
      <w:r>
        <w:separator/>
      </w:r>
    </w:p>
  </w:footnote>
  <w:footnote w:type="continuationSeparator" w:id="0">
    <w:p w:rsidR="002D1E9D" w:rsidRDefault="002D1E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4189794"/>
      <w:docPartObj>
        <w:docPartGallery w:val="Page Numbers (Top of Page)"/>
        <w:docPartUnique/>
      </w:docPartObj>
    </w:sdtPr>
    <w:sdtEndPr>
      <w:rPr>
        <w:noProof/>
      </w:rPr>
    </w:sdtEndPr>
    <w:sdtContent>
      <w:p w:rsidR="00330A78" w:rsidRDefault="002D1E9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E132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330A78" w:rsidRDefault="00330A7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0407626"/>
      <w:docPartObj>
        <w:docPartGallery w:val="Page Numbers (Top of Page)"/>
        <w:docPartUnique/>
      </w:docPartObj>
    </w:sdtPr>
    <w:sdtEndPr>
      <w:rPr>
        <w:noProof/>
      </w:rPr>
    </w:sdtEndPr>
    <w:sdtContent>
      <w:p w:rsidR="00330A78" w:rsidRDefault="002D1E9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B002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30A78" w:rsidRDefault="00330A7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A78"/>
    <w:rsid w:val="00040B53"/>
    <w:rsid w:val="001C4A7C"/>
    <w:rsid w:val="00221F0C"/>
    <w:rsid w:val="002A115F"/>
    <w:rsid w:val="002D1E9D"/>
    <w:rsid w:val="00330A78"/>
    <w:rsid w:val="003409E3"/>
    <w:rsid w:val="003C7437"/>
    <w:rsid w:val="003D5122"/>
    <w:rsid w:val="004E7A1F"/>
    <w:rsid w:val="0057417E"/>
    <w:rsid w:val="00664256"/>
    <w:rsid w:val="006B002F"/>
    <w:rsid w:val="00770814"/>
    <w:rsid w:val="007B2D9A"/>
    <w:rsid w:val="008066B5"/>
    <w:rsid w:val="009B5BEE"/>
    <w:rsid w:val="009C64B9"/>
    <w:rsid w:val="00A67809"/>
    <w:rsid w:val="00AE1FBF"/>
    <w:rsid w:val="00C33C9A"/>
    <w:rsid w:val="00E421EA"/>
    <w:rsid w:val="00ED3305"/>
    <w:rsid w:val="00EE1329"/>
    <w:rsid w:val="00FC2EA0"/>
    <w:rsid w:val="00FF0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0A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0A78"/>
  </w:style>
  <w:style w:type="paragraph" w:styleId="Footer">
    <w:name w:val="footer"/>
    <w:basedOn w:val="Normal"/>
    <w:link w:val="FooterChar"/>
    <w:uiPriority w:val="99"/>
    <w:unhideWhenUsed/>
    <w:rsid w:val="00330A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0A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0A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0A78"/>
  </w:style>
  <w:style w:type="paragraph" w:styleId="Footer">
    <w:name w:val="footer"/>
    <w:basedOn w:val="Normal"/>
    <w:link w:val="FooterChar"/>
    <w:uiPriority w:val="99"/>
    <w:unhideWhenUsed/>
    <w:rsid w:val="00330A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0A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Kamande</cp:lastModifiedBy>
  <cp:revision>5</cp:revision>
  <dcterms:created xsi:type="dcterms:W3CDTF">2020-05-15T21:36:00Z</dcterms:created>
  <dcterms:modified xsi:type="dcterms:W3CDTF">2020-05-16T22:15:00Z</dcterms:modified>
</cp:coreProperties>
</file>